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  <w:bookmarkStart w:id="0" w:name="_GoBack"/>
      <w:bookmarkEnd w:id="0"/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:rsidR="00624BAC" w:rsidRPr="00F64DB3" w:rsidRDefault="002719DB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II/112 Košetice - průtah</w:t>
      </w:r>
      <w:r w:rsidR="009828B9" w:rsidRPr="0088054F">
        <w:rPr>
          <w:rFonts w:ascii="Arial" w:hAnsi="Arial" w:cs="Arial"/>
          <w:b/>
          <w:sz w:val="28"/>
          <w:szCs w:val="28"/>
        </w:rPr>
        <w:t>, PD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9B2530" w:rsidRPr="0088054F">
        <w:rPr>
          <w:rFonts w:ascii="Arial" w:eastAsia="MS Mincho" w:hAnsi="Arial" w:cs="Arial"/>
          <w:sz w:val="22"/>
          <w:szCs w:val="22"/>
        </w:rPr>
        <w:t>Tomáš Pípal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21521C">
        <w:rPr>
          <w:rFonts w:ascii="Arial" w:hAnsi="Arial" w:cs="Arial"/>
          <w:sz w:val="22"/>
          <w:szCs w:val="22"/>
        </w:rPr>
        <w:t>, a.s.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D4795F">
        <w:rPr>
          <w:rFonts w:ascii="Arial" w:hAnsi="Arial" w:cs="Arial"/>
          <w:sz w:val="22"/>
          <w:szCs w:val="22"/>
        </w:rPr>
        <w:t>123-6403810267/0100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2719DB">
        <w:rPr>
          <w:rFonts w:ascii="Arial" w:hAnsi="Arial" w:cs="Arial"/>
          <w:b/>
          <w:bCs/>
          <w:sz w:val="22"/>
          <w:szCs w:val="22"/>
        </w:rPr>
        <w:t>II/112 Košetice - průtah</w:t>
      </w:r>
      <w:r w:rsidRPr="00DD14D1">
        <w:rPr>
          <w:rFonts w:ascii="Arial" w:hAnsi="Arial" w:cs="Arial"/>
          <w:b/>
          <w:bCs/>
          <w:sz w:val="22"/>
          <w:szCs w:val="22"/>
        </w:rPr>
        <w:t>, 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743BD2" w:rsidRDefault="009B2530" w:rsidP="00743BD2">
      <w:pPr>
        <w:pStyle w:val="Zkladntextodsazen3"/>
        <w:ind w:left="0" w:firstLine="0"/>
        <w:rPr>
          <w:szCs w:val="22"/>
        </w:rPr>
      </w:pPr>
      <w:r w:rsidRPr="007C320C">
        <w:rPr>
          <w:szCs w:val="22"/>
        </w:rPr>
        <w:t>Předmětem plnění veřejné zakázky je vypracování projektové dokumentace pro</w:t>
      </w:r>
      <w:r w:rsidR="00A621E0">
        <w:rPr>
          <w:szCs w:val="22"/>
        </w:rPr>
        <w:t xml:space="preserve"> </w:t>
      </w:r>
      <w:r w:rsidR="000E574F">
        <w:rPr>
          <w:szCs w:val="22"/>
        </w:rPr>
        <w:t>p</w:t>
      </w:r>
      <w:r w:rsidR="00A621E0">
        <w:rPr>
          <w:szCs w:val="22"/>
        </w:rPr>
        <w:t>ovolení</w:t>
      </w:r>
      <w:r w:rsidR="000E574F">
        <w:rPr>
          <w:szCs w:val="22"/>
        </w:rPr>
        <w:t xml:space="preserve"> záměru</w:t>
      </w:r>
      <w:r w:rsidRPr="007C320C">
        <w:rPr>
          <w:szCs w:val="22"/>
        </w:rPr>
        <w:t xml:space="preserve"> (dále </w:t>
      </w:r>
      <w:r w:rsidR="00E26C57">
        <w:rPr>
          <w:szCs w:val="22"/>
        </w:rPr>
        <w:t>též</w:t>
      </w:r>
      <w:r w:rsidRPr="007C320C">
        <w:rPr>
          <w:szCs w:val="22"/>
        </w:rPr>
        <w:t xml:space="preserve"> „DP</w:t>
      </w:r>
      <w:r w:rsidR="000E574F">
        <w:rPr>
          <w:szCs w:val="22"/>
        </w:rPr>
        <w:t>Z</w:t>
      </w:r>
      <w:r w:rsidRPr="007C320C">
        <w:rPr>
          <w:szCs w:val="22"/>
        </w:rPr>
        <w:t xml:space="preserve">“), včetně zajištění </w:t>
      </w:r>
      <w:r w:rsidR="004544F5">
        <w:rPr>
          <w:szCs w:val="22"/>
        </w:rPr>
        <w:t xml:space="preserve">pravomocného </w:t>
      </w:r>
      <w:r w:rsidRPr="007C320C">
        <w:rPr>
          <w:szCs w:val="22"/>
        </w:rPr>
        <w:t>povolení</w:t>
      </w:r>
      <w:r w:rsidR="00E26C57">
        <w:rPr>
          <w:szCs w:val="22"/>
        </w:rPr>
        <w:t xml:space="preserve"> záměru</w:t>
      </w:r>
      <w:r w:rsidRPr="007C320C">
        <w:rPr>
          <w:szCs w:val="22"/>
        </w:rPr>
        <w:t xml:space="preserve">, zpracování projektové dokumentace pro provádění </w:t>
      </w:r>
      <w:r w:rsidR="00E26C57">
        <w:rPr>
          <w:szCs w:val="22"/>
        </w:rPr>
        <w:t>záměru</w:t>
      </w:r>
      <w:r w:rsidRPr="007C320C">
        <w:rPr>
          <w:szCs w:val="22"/>
        </w:rPr>
        <w:t xml:space="preserve"> (dále </w:t>
      </w:r>
      <w:r w:rsidR="00371E3E">
        <w:rPr>
          <w:szCs w:val="22"/>
        </w:rPr>
        <w:t>též</w:t>
      </w:r>
      <w:r w:rsidRPr="007C320C">
        <w:rPr>
          <w:szCs w:val="22"/>
        </w:rPr>
        <w:t xml:space="preserve"> „PDP</w:t>
      </w:r>
      <w:r w:rsidR="00E26C57">
        <w:rPr>
          <w:szCs w:val="22"/>
        </w:rPr>
        <w:t>Z</w:t>
      </w:r>
      <w:r w:rsidRPr="007C320C">
        <w:rPr>
          <w:szCs w:val="22"/>
        </w:rPr>
        <w:t>“) vč. soupisu prací a rozpočtu na akci „</w:t>
      </w:r>
      <w:r w:rsidR="002719DB">
        <w:rPr>
          <w:szCs w:val="22"/>
        </w:rPr>
        <w:t>II/112 Košetice - průtah</w:t>
      </w:r>
      <w:r w:rsidRPr="007C320C">
        <w:rPr>
          <w:szCs w:val="22"/>
        </w:rPr>
        <w:t>“.</w:t>
      </w:r>
      <w:r w:rsidR="00743BD2">
        <w:rPr>
          <w:szCs w:val="22"/>
        </w:rPr>
        <w:t xml:space="preserve"> Jedná se o rekonstrukci silnice II/112 (v délce cca 1,1 km) a III/12920a (v délce cca 0,</w:t>
      </w:r>
      <w:r w:rsidR="003C528F">
        <w:rPr>
          <w:szCs w:val="22"/>
        </w:rPr>
        <w:t>580</w:t>
      </w:r>
      <w:r w:rsidR="00743BD2">
        <w:rPr>
          <w:szCs w:val="22"/>
        </w:rPr>
        <w:t xml:space="preserve"> km</w:t>
      </w:r>
      <w:r w:rsidR="003C528F">
        <w:rPr>
          <w:szCs w:val="22"/>
        </w:rPr>
        <w:t>, od křižovatky se silnicí II/112 k dopravní značce konec obce</w:t>
      </w:r>
      <w:r w:rsidR="00743BD2">
        <w:rPr>
          <w:szCs w:val="22"/>
        </w:rPr>
        <w:t xml:space="preserve">) </w:t>
      </w:r>
      <w:r w:rsidR="002D08CD">
        <w:rPr>
          <w:szCs w:val="22"/>
        </w:rPr>
        <w:t xml:space="preserve">v průtahu obcí Košetice </w:t>
      </w:r>
      <w:r w:rsidR="00743BD2">
        <w:rPr>
          <w:szCs w:val="22"/>
        </w:rPr>
        <w:t xml:space="preserve">vč. odvodnění komunikace, vypracování diagnostického průzkumu </w:t>
      </w:r>
      <w:r w:rsidR="00743BD2">
        <w:rPr>
          <w:szCs w:val="22"/>
        </w:rPr>
        <w:lastRenderedPageBreak/>
        <w:t>vozovky, dále</w:t>
      </w:r>
      <w:r w:rsidR="00743BD2" w:rsidRPr="002F03B6">
        <w:rPr>
          <w:szCs w:val="22"/>
        </w:rPr>
        <w:t xml:space="preserve"> </w:t>
      </w:r>
      <w:r w:rsidR="00743BD2">
        <w:rPr>
          <w:szCs w:val="22"/>
        </w:rPr>
        <w:t>vč.</w:t>
      </w:r>
      <w:r w:rsidR="00743BD2" w:rsidRPr="002F03B6">
        <w:rPr>
          <w:szCs w:val="22"/>
        </w:rPr>
        <w:t xml:space="preserve"> úpravy křižovatek </w:t>
      </w:r>
      <w:r w:rsidR="00743BD2">
        <w:rPr>
          <w:szCs w:val="22"/>
        </w:rPr>
        <w:t>napojení na místní komunikace, rekonstrukce chodníků, zřízení parkovacích stání, rekonstrukce autobusových zastávek, zřízení přechodů pro chodce vč. jejich nasvětlení, rekonstrukce vodovodu a stávající kanalizace a úpravy stávajícího veřejného osvětlení</w:t>
      </w:r>
      <w:r w:rsidR="00743BD2" w:rsidRPr="002F03B6">
        <w:rPr>
          <w:szCs w:val="22"/>
        </w:rPr>
        <w:t>. Předmětem zakázky je rovněž zajištění inženýrské činnosti v souvislosti se zpracováním projektových dokumentací, zajištěním nutných vyjádření, souhlasů a povolení k předmětné akci.</w:t>
      </w:r>
      <w:r w:rsidR="00743BD2">
        <w:rPr>
          <w:szCs w:val="22"/>
        </w:rPr>
        <w:t xml:space="preserve"> 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:rsidR="00371E3E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předávání dokumentů, bude využíváno Společné datové prostředí </w:t>
      </w:r>
      <w:r w:rsidR="00522326">
        <w:rPr>
          <w:rFonts w:ascii="Arial" w:hAnsi="Arial" w:cs="Arial"/>
          <w:sz w:val="22"/>
          <w:szCs w:val="22"/>
        </w:rPr>
        <w:t xml:space="preserve">objednatele </w:t>
      </w:r>
      <w:r w:rsidR="00E34211">
        <w:rPr>
          <w:rFonts w:ascii="Arial" w:hAnsi="Arial" w:cs="Arial"/>
          <w:sz w:val="22"/>
          <w:szCs w:val="22"/>
        </w:rPr>
        <w:t>(dále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>
        <w:rPr>
          <w:rFonts w:ascii="Arial" w:hAnsi="Arial" w:cs="Arial"/>
          <w:sz w:val="22"/>
          <w:szCs w:val="22"/>
        </w:rPr>
        <w:t>.</w:t>
      </w:r>
    </w:p>
    <w:p w:rsidR="00B77B7F" w:rsidRDefault="00C52C09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B77B7F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objednatel. Vedení 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 w:rsidR="00B77B7F">
        <w:rPr>
          <w:rFonts w:ascii="Arial" w:hAnsi="Arial" w:cs="Arial"/>
          <w:sz w:val="22"/>
          <w:szCs w:val="22"/>
        </w:rPr>
        <w:t xml:space="preserve"> umožní 1 přístup. </w:t>
      </w:r>
    </w:p>
    <w:p w:rsidR="00FC6129" w:rsidRPr="00FC6129" w:rsidRDefault="00C52C0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Součástí p</w:t>
      </w:r>
      <w:r w:rsidR="00DD52B4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</w:t>
      </w:r>
      <w:r w:rsidR="00B74536">
        <w:rPr>
          <w:rFonts w:ascii="Arial" w:hAnsi="Arial" w:cs="Arial"/>
          <w:sz w:val="22"/>
          <w:szCs w:val="22"/>
        </w:rPr>
        <w:t xml:space="preserve"> plnění je</w:t>
      </w:r>
      <w:r w:rsidR="00DD52B4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Pr="00743BD2" w:rsidRDefault="00743BD2" w:rsidP="00743BD2">
      <w:pPr>
        <w:pStyle w:val="Zkladntextodsazen3"/>
        <w:numPr>
          <w:ilvl w:val="0"/>
          <w:numId w:val="33"/>
        </w:numPr>
        <w:ind w:left="426"/>
        <w:textAlignment w:val="auto"/>
        <w:rPr>
          <w:szCs w:val="22"/>
        </w:rPr>
      </w:pPr>
      <w:r w:rsidRPr="002C5332">
        <w:rPr>
          <w:szCs w:val="22"/>
        </w:rPr>
        <w:lastRenderedPageBreak/>
        <w:t>Diagnostický průzkum vozovky silnice II/112 a vozovky silnice III/12920a</w:t>
      </w:r>
      <w:r w:rsidR="00BF4BA2" w:rsidRPr="00743BD2">
        <w:rPr>
          <w:bCs/>
          <w:szCs w:val="22"/>
        </w:rPr>
        <w:t xml:space="preserve"> v souladu s TP 87</w:t>
      </w:r>
      <w:r>
        <w:rPr>
          <w:bCs/>
          <w:szCs w:val="22"/>
        </w:rPr>
        <w:t xml:space="preserve"> </w:t>
      </w:r>
      <w:r w:rsidR="00BF4BA2" w:rsidRPr="00743BD2">
        <w:rPr>
          <w:bCs/>
          <w:szCs w:val="22"/>
        </w:rPr>
        <w:t xml:space="preserve"> </w:t>
      </w:r>
      <w:r w:rsidR="008526F9" w:rsidRPr="00743BD2">
        <w:rPr>
          <w:bCs/>
          <w:color w:val="242424"/>
          <w:szCs w:val="22"/>
        </w:rPr>
        <w:t xml:space="preserve">Navrhování údržby a oprav netuhých vozovek </w:t>
      </w:r>
      <w:r w:rsidR="00BF4BA2" w:rsidRPr="00743BD2">
        <w:rPr>
          <w:bCs/>
          <w:szCs w:val="22"/>
        </w:rPr>
        <w:t>(budou navrženy varianty a prověřena možnost studené recyklace),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:rsidR="00BF4BA2" w:rsidRDefault="00BF4BA2" w:rsidP="00BF4BA2">
      <w:pPr>
        <w:pStyle w:val="bntext30"/>
        <w:numPr>
          <w:ilvl w:val="0"/>
          <w:numId w:val="33"/>
        </w:numPr>
      </w:pPr>
      <w:r w:rsidRPr="00762347">
        <w:t>provedení jádrových vývrtů, sond: po 250 m</w:t>
      </w:r>
    </w:p>
    <w:p w:rsidR="0062578B" w:rsidRPr="00762347" w:rsidRDefault="0062578B" w:rsidP="00BF4BA2">
      <w:pPr>
        <w:pStyle w:val="bntext30"/>
        <w:numPr>
          <w:ilvl w:val="0"/>
          <w:numId w:val="33"/>
        </w:numPr>
      </w:pPr>
      <w:r>
        <w:t>provedení vrtané (kopané) hloubkové sondy v četnosti min. 1x/</w:t>
      </w:r>
      <w:r w:rsidR="00743BD2">
        <w:t>600</w:t>
      </w:r>
      <w:r>
        <w:t>m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:rsidR="00BF4BA2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:rsidR="00433E9A" w:rsidRPr="00762347" w:rsidRDefault="00433E9A" w:rsidP="00433E9A">
      <w:pPr>
        <w:pStyle w:val="bntext30"/>
        <w:ind w:left="1381"/>
      </w:pPr>
    </w:p>
    <w:p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:rsidR="00BF4BA2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způsobu a technologie opravy (dle stanovení dopravního zatížení) TP 170 </w:t>
      </w:r>
    </w:p>
    <w:p w:rsidR="00743BD2" w:rsidRPr="00743BD2" w:rsidRDefault="00743BD2" w:rsidP="00743BD2">
      <w:pPr>
        <w:pStyle w:val="bntext30"/>
        <w:ind w:left="0"/>
        <w:rPr>
          <w:color w:val="0070C0"/>
        </w:rPr>
      </w:pPr>
    </w:p>
    <w:p w:rsidR="00743BD2" w:rsidRPr="00015562" w:rsidRDefault="00743BD2" w:rsidP="00743BD2">
      <w:pPr>
        <w:pStyle w:val="bntext30"/>
        <w:ind w:left="0"/>
      </w:pPr>
      <w:r w:rsidRPr="00015562">
        <w:t>Součástí diagnostického průzkumu bude i zajištění výluhů, rozborů a zprávy pro stanovení způsobu nakládání s frézov</w:t>
      </w:r>
      <w:r w:rsidR="007C26F1" w:rsidRPr="00015562">
        <w:t>a</w:t>
      </w:r>
      <w:r w:rsidRPr="00015562">
        <w:t>ným asfaltobetonovým materiálem v souladu s Vyhláškou 130/2019 Sb.</w:t>
      </w:r>
    </w:p>
    <w:p w:rsidR="00BF4BA2" w:rsidRPr="00015562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:rsidR="00BF4BA2" w:rsidRPr="00015562" w:rsidRDefault="006A082E" w:rsidP="00873DDE">
      <w:pPr>
        <w:jc w:val="both"/>
        <w:rPr>
          <w:rFonts w:ascii="Arial" w:hAnsi="Arial" w:cs="Arial"/>
          <w:sz w:val="22"/>
          <w:szCs w:val="22"/>
        </w:rPr>
      </w:pPr>
      <w:r w:rsidRPr="00015562">
        <w:rPr>
          <w:rFonts w:ascii="Arial" w:hAnsi="Arial" w:cs="Arial"/>
          <w:sz w:val="22"/>
          <w:szCs w:val="22"/>
        </w:rPr>
        <w:t>Zpráva</w:t>
      </w:r>
      <w:r w:rsidR="00BF4BA2" w:rsidRPr="00015562">
        <w:rPr>
          <w:rFonts w:ascii="Arial" w:hAnsi="Arial" w:cs="Arial"/>
          <w:sz w:val="22"/>
          <w:szCs w:val="22"/>
        </w:rPr>
        <w:t xml:space="preserve"> o provedeném diagnostickém </w:t>
      </w:r>
      <w:r w:rsidRPr="00015562">
        <w:rPr>
          <w:rFonts w:ascii="Arial" w:hAnsi="Arial" w:cs="Arial"/>
          <w:sz w:val="22"/>
          <w:szCs w:val="22"/>
        </w:rPr>
        <w:t>průzkumu</w:t>
      </w:r>
      <w:r w:rsidR="00BF4BA2" w:rsidRPr="00015562">
        <w:rPr>
          <w:rFonts w:ascii="Arial" w:hAnsi="Arial" w:cs="Arial"/>
          <w:sz w:val="22"/>
          <w:szCs w:val="22"/>
        </w:rPr>
        <w:t xml:space="preserve"> bude </w:t>
      </w:r>
      <w:r w:rsidRPr="00015562">
        <w:rPr>
          <w:rFonts w:ascii="Arial" w:hAnsi="Arial" w:cs="Arial"/>
          <w:sz w:val="22"/>
          <w:szCs w:val="22"/>
        </w:rPr>
        <w:t>předána</w:t>
      </w:r>
      <w:r w:rsidR="00BF4BA2" w:rsidRPr="00015562">
        <w:rPr>
          <w:rFonts w:ascii="Arial" w:hAnsi="Arial" w:cs="Arial"/>
          <w:sz w:val="22"/>
          <w:szCs w:val="22"/>
        </w:rPr>
        <w:t xml:space="preserve"> </w:t>
      </w:r>
      <w:r w:rsidR="00CC18A7" w:rsidRPr="00015562">
        <w:rPr>
          <w:rFonts w:ascii="Arial" w:hAnsi="Arial" w:cs="Arial"/>
          <w:sz w:val="22"/>
          <w:szCs w:val="22"/>
        </w:rPr>
        <w:t>O</w:t>
      </w:r>
      <w:r w:rsidR="00BF4BA2" w:rsidRPr="00015562">
        <w:rPr>
          <w:rFonts w:ascii="Arial" w:hAnsi="Arial" w:cs="Arial"/>
          <w:sz w:val="22"/>
          <w:szCs w:val="22"/>
        </w:rPr>
        <w:t xml:space="preserve">bjednateli </w:t>
      </w:r>
      <w:r w:rsidR="00873DDE" w:rsidRPr="00015562">
        <w:rPr>
          <w:rFonts w:ascii="Arial" w:hAnsi="Arial" w:cs="Arial"/>
          <w:sz w:val="22"/>
          <w:szCs w:val="22"/>
        </w:rPr>
        <w:t xml:space="preserve">v plném rozsahu </w:t>
      </w:r>
      <w:r w:rsidR="00BF4BA2" w:rsidRPr="00015562">
        <w:rPr>
          <w:rFonts w:ascii="Arial" w:hAnsi="Arial" w:cs="Arial"/>
          <w:sz w:val="22"/>
          <w:szCs w:val="22"/>
        </w:rPr>
        <w:t xml:space="preserve">v </w:t>
      </w:r>
      <w:r w:rsidR="00CC18A7" w:rsidRPr="00015562">
        <w:rPr>
          <w:rFonts w:ascii="Arial" w:hAnsi="Arial" w:cs="Arial"/>
          <w:sz w:val="22"/>
          <w:szCs w:val="22"/>
        </w:rPr>
        <w:t>listinné</w:t>
      </w:r>
      <w:r w:rsidR="00BF4BA2" w:rsidRPr="00015562">
        <w:rPr>
          <w:rFonts w:ascii="Arial" w:hAnsi="Arial" w:cs="Arial"/>
          <w:sz w:val="22"/>
          <w:szCs w:val="22"/>
        </w:rPr>
        <w:t xml:space="preserve"> a v digitální podobě (</w:t>
      </w:r>
      <w:r w:rsidR="00873DDE" w:rsidRPr="00015562">
        <w:rPr>
          <w:rFonts w:ascii="Arial" w:hAnsi="Arial" w:cs="Arial"/>
          <w:sz w:val="22"/>
          <w:szCs w:val="22"/>
        </w:rPr>
        <w:t>prostřednictvím CDE)</w:t>
      </w:r>
      <w:r w:rsidR="00BF4BA2" w:rsidRPr="00015562">
        <w:rPr>
          <w:rFonts w:ascii="Arial" w:hAnsi="Arial" w:cs="Arial"/>
          <w:sz w:val="22"/>
          <w:szCs w:val="22"/>
        </w:rPr>
        <w:t>.</w:t>
      </w:r>
    </w:p>
    <w:p w:rsidR="00BF4BA2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643564" w:rsidRPr="00DD0AD1" w:rsidRDefault="00643564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 w:rsidR="005A062A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stavebnímu řízení</w:t>
      </w:r>
    </w:p>
    <w:p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:rsidR="00EF699A" w:rsidRPr="00EF699A" w:rsidRDefault="00EF699A" w:rsidP="00EF699A">
      <w:pPr>
        <w:tabs>
          <w:tab w:val="num" w:pos="-1560"/>
        </w:tabs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EF699A">
        <w:rPr>
          <w:rFonts w:ascii="Arial" w:eastAsia="Calibri" w:hAnsi="Arial" w:cs="Arial"/>
          <w:iCs/>
          <w:sz w:val="22"/>
          <w:szCs w:val="22"/>
          <w:lang w:eastAsia="en-US"/>
        </w:rPr>
        <w:t>Silnice II/112, včetně úpravy křižovatek</w:t>
      </w:r>
    </w:p>
    <w:p w:rsidR="00EF699A" w:rsidRPr="00EF699A" w:rsidRDefault="00EF699A" w:rsidP="00EF699A">
      <w:pPr>
        <w:tabs>
          <w:tab w:val="num" w:pos="-1560"/>
        </w:tabs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EF699A">
        <w:rPr>
          <w:rFonts w:ascii="Arial" w:eastAsia="Calibri" w:hAnsi="Arial" w:cs="Arial"/>
          <w:iCs/>
          <w:sz w:val="22"/>
          <w:szCs w:val="22"/>
          <w:lang w:eastAsia="en-US"/>
        </w:rPr>
        <w:t>- Silnice III/12920a, včetně úpravy křižovatek</w:t>
      </w:r>
    </w:p>
    <w:p w:rsidR="00EF699A" w:rsidRPr="00EF699A" w:rsidRDefault="00EF699A" w:rsidP="00EF699A">
      <w:pPr>
        <w:tabs>
          <w:tab w:val="num" w:pos="-1560"/>
        </w:tabs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EF699A">
        <w:rPr>
          <w:rFonts w:ascii="Arial" w:eastAsia="Calibri" w:hAnsi="Arial" w:cs="Arial"/>
          <w:iCs/>
          <w:sz w:val="22"/>
          <w:szCs w:val="22"/>
          <w:lang w:eastAsia="en-US"/>
        </w:rPr>
        <w:t>- Napojení, sjezdy</w:t>
      </w:r>
    </w:p>
    <w:p w:rsidR="00EF699A" w:rsidRPr="00EF699A" w:rsidRDefault="00EF699A" w:rsidP="00EF699A">
      <w:pPr>
        <w:tabs>
          <w:tab w:val="num" w:pos="-1560"/>
        </w:tabs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EF699A">
        <w:rPr>
          <w:rFonts w:ascii="Arial" w:eastAsia="Calibri" w:hAnsi="Arial" w:cs="Arial"/>
          <w:iCs/>
          <w:sz w:val="22"/>
          <w:szCs w:val="22"/>
          <w:lang w:eastAsia="en-US"/>
        </w:rPr>
        <w:t>- Dešťová kanalizace, UV</w:t>
      </w:r>
    </w:p>
    <w:p w:rsidR="00EF699A" w:rsidRPr="00EF699A" w:rsidRDefault="00EF699A" w:rsidP="00EF699A">
      <w:pPr>
        <w:tabs>
          <w:tab w:val="num" w:pos="-1560"/>
        </w:tabs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EF699A">
        <w:rPr>
          <w:rFonts w:ascii="Arial" w:eastAsia="Calibri" w:hAnsi="Arial" w:cs="Arial"/>
          <w:iCs/>
          <w:sz w:val="22"/>
          <w:szCs w:val="22"/>
          <w:lang w:eastAsia="en-US"/>
        </w:rPr>
        <w:t>- Přeložky inženýrských sítí (vynucené realizací uvedených stavebních objektů)</w:t>
      </w:r>
    </w:p>
    <w:p w:rsidR="00EF699A" w:rsidRPr="00EF699A" w:rsidRDefault="00EF699A" w:rsidP="00EF699A">
      <w:pPr>
        <w:tabs>
          <w:tab w:val="num" w:pos="-1560"/>
        </w:tabs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EF699A">
        <w:rPr>
          <w:rFonts w:ascii="Arial" w:eastAsia="Calibri" w:hAnsi="Arial" w:cs="Arial"/>
          <w:iCs/>
          <w:sz w:val="22"/>
          <w:szCs w:val="22"/>
          <w:lang w:eastAsia="en-US"/>
        </w:rPr>
        <w:t>- Přechodné dopravní značení</w:t>
      </w:r>
    </w:p>
    <w:p w:rsidR="00FA4E4C" w:rsidRPr="00FA4E4C" w:rsidRDefault="00EF699A" w:rsidP="00EF699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EF699A">
        <w:rPr>
          <w:rFonts w:ascii="Arial" w:eastAsia="Calibri" w:hAnsi="Arial" w:cs="Arial"/>
          <w:iCs/>
          <w:sz w:val="22"/>
          <w:szCs w:val="22"/>
          <w:lang w:eastAsia="en-US"/>
        </w:rPr>
        <w:t>- Trvalé dopravní značení</w:t>
      </w:r>
    </w:p>
    <w:p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:rsidR="00015562" w:rsidRDefault="00015562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:rsidR="005F166B" w:rsidRDefault="00EF699A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1x </w:t>
      </w:r>
      <w:r w:rsidR="005F166B"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="005F166B"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 xml:space="preserve">podobě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="005F166B" w:rsidRPr="00873DDE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="005F166B" w:rsidRPr="00873DDE">
        <w:rPr>
          <w:rFonts w:ascii="Arial" w:hAnsi="Arial" w:cs="Arial"/>
          <w:bCs/>
          <w:sz w:val="22"/>
          <w:szCs w:val="22"/>
        </w:rPr>
        <w:t>dwg</w:t>
      </w:r>
      <w:proofErr w:type="spellEnd"/>
      <w:r w:rsidR="005F166B" w:rsidRPr="00873DDE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="005F166B" w:rsidRPr="00873DDE">
        <w:rPr>
          <w:rFonts w:ascii="Arial" w:hAnsi="Arial" w:cs="Arial"/>
          <w:bCs/>
          <w:sz w:val="22"/>
          <w:szCs w:val="22"/>
        </w:rPr>
        <w:t>pdf</w:t>
      </w:r>
      <w:proofErr w:type="spellEnd"/>
      <w:r w:rsidR="005F166B" w:rsidRPr="00873DDE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r w:rsidR="00DD14D1" w:rsidRPr="00873DDE">
        <w:rPr>
          <w:rFonts w:ascii="Arial" w:hAnsi="Arial" w:cs="Arial"/>
          <w:bCs/>
          <w:sz w:val="22"/>
          <w:szCs w:val="22"/>
        </w:rPr>
        <w:t>prostřednictvím CDE</w:t>
      </w:r>
      <w:r w:rsidR="00873DDE">
        <w:rPr>
          <w:rFonts w:ascii="Arial" w:hAnsi="Arial" w:cs="Arial"/>
          <w:bCs/>
          <w:sz w:val="22"/>
          <w:szCs w:val="22"/>
        </w:rPr>
        <w:t>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CF39E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lastRenderedPageBreak/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:rsidR="00460196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56ED1" w:rsidRPr="003A641B" w:rsidRDefault="00956ED1" w:rsidP="00956ED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:rsidR="00956ED1" w:rsidRPr="003A641B" w:rsidRDefault="00956ED1" w:rsidP="00956ED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A_A_A_A_A_BBBB_CC_DDD_EEEEEEEEEEEEE</w:t>
      </w:r>
    </w:p>
    <w:p w:rsidR="00956ED1" w:rsidRPr="003A641B" w:rsidRDefault="00956ED1" w:rsidP="00956ED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Kde:</w:t>
      </w:r>
    </w:p>
    <w:p w:rsidR="00956ED1" w:rsidRPr="003A641B" w:rsidRDefault="00956ED1" w:rsidP="00956ED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:rsidR="00956ED1" w:rsidRPr="003A641B" w:rsidRDefault="00956ED1" w:rsidP="00956ED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:rsidR="00956ED1" w:rsidRPr="003A641B" w:rsidRDefault="00956ED1" w:rsidP="00956ED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:rsidR="00956ED1" w:rsidRPr="003A641B" w:rsidRDefault="00956ED1" w:rsidP="00956ED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:rsidR="00956ED1" w:rsidRPr="003A641B" w:rsidRDefault="00956ED1" w:rsidP="00956ED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:rsidR="00956ED1" w:rsidRPr="003A641B" w:rsidRDefault="00956ED1" w:rsidP="00956ED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:rsidR="00956ED1" w:rsidRPr="003A641B" w:rsidRDefault="00956ED1" w:rsidP="00956ED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:rsidR="00956ED1" w:rsidRPr="00675A6F" w:rsidRDefault="00956ED1" w:rsidP="00956ED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D_1_1_2_1_SO01_A1_101_PUDORYS_1NP</w:t>
      </w:r>
    </w:p>
    <w:p w:rsidR="00956ED1" w:rsidRPr="00675A6F" w:rsidRDefault="00956ED1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43564" w:rsidRDefault="00643564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CC739B" w:rsidRDefault="00CC739B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174A3C">
        <w:rPr>
          <w:rFonts w:ascii="Arial" w:hAnsi="Arial" w:cs="Arial"/>
          <w:sz w:val="22"/>
          <w:szCs w:val="22"/>
        </w:rPr>
        <w:t>7</w:t>
      </w:r>
      <w:r w:rsidR="006C00C1" w:rsidRPr="00CC739B">
        <w:rPr>
          <w:rFonts w:ascii="Arial" w:hAnsi="Arial" w:cs="Arial"/>
          <w:sz w:val="22"/>
          <w:szCs w:val="22"/>
        </w:rPr>
        <w:t>0</w:t>
      </w:r>
      <w:r w:rsidR="00EB1D6F" w:rsidRPr="00CC739B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CC739B">
        <w:rPr>
          <w:rFonts w:ascii="Arial" w:hAnsi="Arial" w:cs="Arial"/>
          <w:sz w:val="22"/>
          <w:szCs w:val="22"/>
        </w:rPr>
        <w:t xml:space="preserve"> D</w:t>
      </w:r>
      <w:r w:rsidR="003412D7" w:rsidRPr="00CC739B">
        <w:rPr>
          <w:rFonts w:ascii="Arial" w:hAnsi="Arial" w:cs="Arial"/>
          <w:sz w:val="22"/>
          <w:szCs w:val="22"/>
        </w:rPr>
        <w:t>P</w:t>
      </w:r>
      <w:r w:rsidR="00215613" w:rsidRPr="00CC739B">
        <w:rPr>
          <w:rFonts w:ascii="Arial" w:hAnsi="Arial" w:cs="Arial"/>
          <w:sz w:val="22"/>
          <w:szCs w:val="22"/>
        </w:rPr>
        <w:t xml:space="preserve"> </w:t>
      </w:r>
      <w:r w:rsidR="00C87BC5" w:rsidRPr="00CC739B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CC739B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CC739B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CC739B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CC739B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CC739B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CC739B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CC739B">
        <w:rPr>
          <w:rFonts w:ascii="Arial" w:hAnsi="Arial" w:cs="Arial"/>
          <w:spacing w:val="6"/>
          <w:sz w:val="22"/>
          <w:szCs w:val="22"/>
        </w:rPr>
        <w:t xml:space="preserve"> </w:t>
      </w:r>
      <w:r w:rsidR="00CC739B" w:rsidRPr="00CC739B">
        <w:rPr>
          <w:rFonts w:ascii="Arial" w:hAnsi="Arial" w:cs="Arial"/>
          <w:spacing w:val="6"/>
          <w:sz w:val="22"/>
          <w:szCs w:val="22"/>
        </w:rPr>
        <w:br/>
      </w:r>
      <w:r w:rsidR="00215613" w:rsidRPr="00CC739B">
        <w:rPr>
          <w:rFonts w:ascii="Arial" w:hAnsi="Arial" w:cs="Arial"/>
          <w:spacing w:val="6"/>
          <w:sz w:val="22"/>
          <w:szCs w:val="22"/>
        </w:rPr>
        <w:t>3 hod</w:t>
      </w:r>
      <w:r w:rsidR="00C87BC5" w:rsidRPr="00CC739B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lastRenderedPageBreak/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C4146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B7211D" w:rsidRDefault="00B7211D" w:rsidP="00B7211D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6C00C1">
        <w:rPr>
          <w:rFonts w:ascii="Arial" w:hAnsi="Arial" w:cs="Arial"/>
          <w:sz w:val="22"/>
          <w:szCs w:val="22"/>
          <w:lang w:val="pl-PL"/>
        </w:rPr>
        <w:t>11</w:t>
      </w:r>
      <w:r w:rsidR="001264F2">
        <w:rPr>
          <w:rFonts w:ascii="Arial" w:hAnsi="Arial" w:cs="Arial"/>
          <w:sz w:val="22"/>
          <w:szCs w:val="22"/>
          <w:lang w:val="pl-PL"/>
        </w:rPr>
        <w:t>/202</w:t>
      </w:r>
      <w:r w:rsidR="006C00C1">
        <w:rPr>
          <w:rFonts w:ascii="Arial" w:hAnsi="Arial" w:cs="Arial"/>
          <w:sz w:val="22"/>
          <w:szCs w:val="22"/>
          <w:lang w:val="pl-PL"/>
        </w:rPr>
        <w:t>5</w:t>
      </w:r>
    </w:p>
    <w:p w:rsidR="00B7211D" w:rsidRPr="001C664A" w:rsidRDefault="00B7211D" w:rsidP="00F960C5">
      <w:pPr>
        <w:pStyle w:val="Bntext2"/>
        <w:spacing w:line="264" w:lineRule="auto"/>
        <w:ind w:left="0"/>
        <w:rPr>
          <w:lang w:val="pl-PL"/>
        </w:rPr>
      </w:pPr>
    </w:p>
    <w:p w:rsidR="007656FC" w:rsidRPr="004379A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6C00C1">
        <w:rPr>
          <w:rFonts w:ascii="Arial" w:hAnsi="Arial" w:cs="Arial"/>
          <w:sz w:val="22"/>
          <w:szCs w:val="22"/>
          <w:lang w:val="pl-PL"/>
        </w:rPr>
        <w:t>31. 5. 2026</w:t>
      </w:r>
    </w:p>
    <w:p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6C00C1">
        <w:rPr>
          <w:rFonts w:ascii="Arial" w:hAnsi="Arial" w:cs="Arial"/>
          <w:sz w:val="22"/>
          <w:szCs w:val="22"/>
          <w:lang w:val="pl-PL"/>
        </w:rPr>
        <w:t>30. 9. 2026</w:t>
      </w:r>
    </w:p>
    <w:p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082501" w:rsidRPr="00CC090D">
        <w:rPr>
          <w:rFonts w:ascii="Arial" w:hAnsi="Arial" w:cs="Arial"/>
          <w:sz w:val="22"/>
          <w:szCs w:val="22"/>
          <w:lang w:val="pl-PL"/>
        </w:rPr>
        <w:t>do 31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6C00C1">
        <w:rPr>
          <w:rFonts w:ascii="Arial" w:hAnsi="Arial" w:cs="Arial"/>
          <w:sz w:val="22"/>
          <w:szCs w:val="22"/>
          <w:lang w:val="pl-PL"/>
        </w:rPr>
        <w:t>1</w:t>
      </w:r>
      <w:r w:rsidR="00C00973" w:rsidRPr="00CC090D">
        <w:rPr>
          <w:rFonts w:ascii="Arial" w:hAnsi="Arial" w:cs="Arial"/>
          <w:sz w:val="22"/>
          <w:szCs w:val="22"/>
          <w:lang w:val="pl-PL"/>
        </w:rPr>
        <w:t>. 202</w:t>
      </w:r>
      <w:r w:rsidR="006C00C1">
        <w:rPr>
          <w:rFonts w:ascii="Arial" w:hAnsi="Arial" w:cs="Arial"/>
          <w:sz w:val="22"/>
          <w:szCs w:val="22"/>
          <w:lang w:val="pl-PL"/>
        </w:rPr>
        <w:t>7</w:t>
      </w:r>
    </w:p>
    <w:p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lastRenderedPageBreak/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CC739B">
        <w:rPr>
          <w:rFonts w:ascii="Arial" w:hAnsi="Arial" w:cs="Arial"/>
          <w:sz w:val="22"/>
          <w:szCs w:val="22"/>
        </w:rPr>
        <w:t xml:space="preserve">rozsahu </w:t>
      </w:r>
      <w:r w:rsidR="00174A3C">
        <w:rPr>
          <w:rFonts w:ascii="Arial" w:hAnsi="Arial" w:cs="Arial"/>
          <w:sz w:val="22"/>
          <w:szCs w:val="22"/>
        </w:rPr>
        <w:t>21</w:t>
      </w:r>
      <w:r w:rsidR="00CC739B">
        <w:rPr>
          <w:rFonts w:ascii="Arial" w:hAnsi="Arial" w:cs="Arial"/>
          <w:sz w:val="22"/>
          <w:szCs w:val="22"/>
        </w:rPr>
        <w:t>0</w:t>
      </w:r>
      <w:r w:rsidRPr="00CC739B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6C00C1">
        <w:rPr>
          <w:rFonts w:ascii="Arial" w:hAnsi="Arial" w:cs="Arial"/>
          <w:sz w:val="22"/>
          <w:szCs w:val="22"/>
        </w:rPr>
        <w:t xml:space="preserve"> </w:t>
      </w:r>
      <w:r w:rsidR="00174A3C">
        <w:rPr>
          <w:rFonts w:ascii="Arial" w:hAnsi="Arial" w:cs="Arial"/>
          <w:sz w:val="22"/>
          <w:szCs w:val="22"/>
        </w:rPr>
        <w:t>70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:rsidR="00826D45" w:rsidRDefault="00826D45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:rsidR="00826D45" w:rsidRDefault="00826D45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lastRenderedPageBreak/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v </w:t>
      </w:r>
      <w:r w:rsidR="006C00C1" w:rsidRPr="00CC739B">
        <w:rPr>
          <w:rFonts w:ascii="Arial" w:hAnsi="Arial" w:cs="Arial"/>
          <w:b/>
          <w:sz w:val="22"/>
          <w:szCs w:val="22"/>
          <w:u w:val="single"/>
        </w:rPr>
        <w:t xml:space="preserve">rozsahu </w:t>
      </w:r>
      <w:r w:rsidR="00174A3C">
        <w:rPr>
          <w:rFonts w:ascii="Arial" w:hAnsi="Arial" w:cs="Arial"/>
          <w:b/>
          <w:sz w:val="22"/>
          <w:szCs w:val="22"/>
          <w:u w:val="single"/>
        </w:rPr>
        <w:t>21</w:t>
      </w:r>
      <w:r w:rsidR="00C07F17" w:rsidRPr="00CC739B">
        <w:rPr>
          <w:rFonts w:ascii="Arial" w:hAnsi="Arial" w:cs="Arial"/>
          <w:b/>
          <w:sz w:val="22"/>
          <w:szCs w:val="22"/>
          <w:u w:val="single"/>
        </w:rPr>
        <w:t>0 hodin</w:t>
      </w:r>
    </w:p>
    <w:p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A9209B" w:rsidRDefault="00A9209B" w:rsidP="00A9209B">
      <w:pPr>
        <w:pStyle w:val="Odstavecseseznamem"/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lastRenderedPageBreak/>
        <w:t>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382DA7" w:rsidRDefault="00382DA7" w:rsidP="00382DA7">
      <w:pPr>
        <w:pStyle w:val="Odstavecseseznamem"/>
      </w:pPr>
    </w:p>
    <w:p w:rsidR="00E51256" w:rsidRPr="00AE3E1C" w:rsidRDefault="00C4146A" w:rsidP="00AE3E1C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2"/>
        </w:rPr>
      </w:pPr>
      <w:r w:rsidRPr="00AE3E1C">
        <w:rPr>
          <w:color w:val="auto"/>
          <w:spacing w:val="-2"/>
        </w:rPr>
        <w:t>Kromě povinných náležito</w:t>
      </w:r>
      <w:r w:rsidR="00DE12ED" w:rsidRPr="00AE3E1C">
        <w:rPr>
          <w:color w:val="auto"/>
          <w:spacing w:val="-2"/>
        </w:rPr>
        <w:t xml:space="preserve">stí je </w:t>
      </w:r>
      <w:r w:rsidR="004B3CC3" w:rsidRPr="00AE3E1C">
        <w:rPr>
          <w:color w:val="auto"/>
          <w:spacing w:val="-2"/>
        </w:rPr>
        <w:t>Zhotovitel</w:t>
      </w:r>
      <w:r w:rsidRPr="00AE3E1C">
        <w:rPr>
          <w:color w:val="auto"/>
          <w:spacing w:val="-2"/>
        </w:rPr>
        <w:t xml:space="preserve"> povinen uvádět v jednotlivých fakturách přesný název akce </w:t>
      </w:r>
      <w:r w:rsidR="00CC739B" w:rsidRPr="00AE3E1C">
        <w:rPr>
          <w:color w:val="auto"/>
          <w:spacing w:val="-2"/>
        </w:rPr>
        <w:t>II/112 Košetice - průtah, PD.</w:t>
      </w:r>
    </w:p>
    <w:p w:rsidR="004379AC" w:rsidRDefault="004379AC" w:rsidP="004379AC">
      <w:pPr>
        <w:pStyle w:val="Odstavecseseznamem"/>
        <w:rPr>
          <w:b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7C26F1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7C26F1" w:rsidRDefault="007C26F1" w:rsidP="007C26F1">
      <w:pPr>
        <w:pStyle w:val="Odstavecseseznamem"/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A9209B" w:rsidRDefault="00A9209B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A92B75" w:rsidRDefault="00A92B75" w:rsidP="00A92B75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:rsidR="007C26F1" w:rsidRPr="00121D5B" w:rsidRDefault="007C26F1" w:rsidP="007C26F1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:rsidR="0060636E" w:rsidRDefault="0060636E" w:rsidP="0060636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AE3E1C" w:rsidRDefault="00AE3E1C" w:rsidP="00AE3E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826D45" w:rsidRDefault="00826D45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lastRenderedPageBreak/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A9209B" w:rsidRDefault="00A9209B" w:rsidP="00A9209B">
      <w:pPr>
        <w:pStyle w:val="Odstavecseseznamem"/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2B7B7D" w:rsidRDefault="002B7B7D" w:rsidP="002B7B7D">
      <w:pPr>
        <w:pStyle w:val="Odstavecseseznamem"/>
      </w:pPr>
    </w:p>
    <w:p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:rsidR="00382DA7" w:rsidRDefault="00382DA7" w:rsidP="00382DA7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7C26F1" w:rsidRDefault="007C26F1" w:rsidP="007C26F1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826D45" w:rsidRDefault="00826D45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826D45" w:rsidRDefault="00826D45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7C26F1" w:rsidRDefault="007C26F1" w:rsidP="007C26F1">
      <w:pPr>
        <w:pStyle w:val="Odstavecseseznamem"/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A9209B" w:rsidRDefault="00A9209B" w:rsidP="00A9209B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lastRenderedPageBreak/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Pr="00A9209B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A9209B" w:rsidRDefault="00A9209B" w:rsidP="00A9209B">
      <w:pPr>
        <w:pStyle w:val="Odstavecseseznamem"/>
      </w:pPr>
    </w:p>
    <w:p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2E3CB6" w:rsidRDefault="002E3CB6" w:rsidP="002E3CB6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lastRenderedPageBreak/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660581"/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Smluvní strany se dohodly, že zákonnou povinnost dle § 5 odst. 2 zákona č.</w:t>
      </w:r>
      <w:r w:rsidR="001742BA" w:rsidRPr="00DB6394">
        <w:rPr>
          <w:color w:val="auto"/>
        </w:rPr>
        <w:t xml:space="preserve"> </w:t>
      </w:r>
      <w:r w:rsidRPr="00DB6394">
        <w:rPr>
          <w:color w:val="auto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je povinen uchovávat veškerou dokumentaci související s realizací projektu včetně účetních dokladů minimálně do konce roku 203</w:t>
      </w:r>
      <w:r w:rsidR="00B46528" w:rsidRPr="00DB6394">
        <w:rPr>
          <w:color w:val="auto"/>
        </w:rPr>
        <w:t>5</w:t>
      </w:r>
      <w:r w:rsidRPr="00DB6394">
        <w:rPr>
          <w:color w:val="auto"/>
        </w:rPr>
        <w:t>.</w:t>
      </w:r>
    </w:p>
    <w:p w:rsidR="00660581" w:rsidRDefault="00660581" w:rsidP="00660581">
      <w:pPr>
        <w:pStyle w:val="Odstavecseseznamem"/>
      </w:pPr>
    </w:p>
    <w:p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DB6394">
        <w:rPr>
          <w:color w:val="auto"/>
        </w:rPr>
        <w:t>Zhotovitel je povinen minimálně do konce roku 203</w:t>
      </w:r>
      <w:r w:rsidR="00B46528" w:rsidRPr="00DB6394">
        <w:rPr>
          <w:color w:val="auto"/>
        </w:rPr>
        <w:t>5</w:t>
      </w:r>
      <w:r w:rsidRPr="00DB6394">
        <w:rPr>
          <w:color w:val="auto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 w:rsidRPr="00DB6394">
        <w:rPr>
          <w:color w:val="auto"/>
        </w:rPr>
        <w:t xml:space="preserve"> V případě zajištění financování z prostředků SFDI zhotovitel výslovně souhlasí s oprávněním SFDI na výkon práva kontroly u zhotovitele této stavby ve vztahu k poskytnutým finančním prostředkům.</w:t>
      </w:r>
    </w:p>
    <w:p w:rsidR="004B312B" w:rsidRDefault="004B312B" w:rsidP="004B312B">
      <w:pPr>
        <w:pStyle w:val="Odstavecseseznamem"/>
        <w:rPr>
          <w:spacing w:val="-6"/>
        </w:rPr>
      </w:pPr>
    </w:p>
    <w:p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0555F6" w:rsidRDefault="000555F6" w:rsidP="000555F6">
      <w:pPr>
        <w:pStyle w:val="Odstavecseseznamem"/>
        <w:rPr>
          <w:spacing w:val="-6"/>
        </w:rPr>
      </w:pPr>
    </w:p>
    <w:p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:rsidR="00A9209B" w:rsidRDefault="00A9209B" w:rsidP="00A9209B">
      <w:pPr>
        <w:pStyle w:val="Odstavecseseznamem"/>
      </w:pPr>
    </w:p>
    <w:p w:rsidR="00522EB0" w:rsidRPr="00DB6394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 xml:space="preserve">Zhotovitel se zavazuje, v rámci plnění této smlouvy, nevyužívat </w:t>
      </w:r>
      <w:r w:rsidR="007E38D2" w:rsidRPr="00DB6394">
        <w:rPr>
          <w:color w:val="auto"/>
        </w:rPr>
        <w:t xml:space="preserve">v rozsahu vyšším než </w:t>
      </w:r>
      <w:r w:rsidR="00826D45">
        <w:rPr>
          <w:color w:val="auto"/>
        </w:rPr>
        <w:br/>
      </w:r>
      <w:r w:rsidR="007E38D2" w:rsidRPr="00DB6394">
        <w:rPr>
          <w:color w:val="auto"/>
        </w:rPr>
        <w:t xml:space="preserve">10 % ceny </w:t>
      </w:r>
      <w:r w:rsidRPr="00DB6394">
        <w:rPr>
          <w:color w:val="auto"/>
        </w:rPr>
        <w:t>poddodavatele, který je:</w:t>
      </w:r>
    </w:p>
    <w:p w:rsidR="00522EB0" w:rsidRPr="00DB6394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fyzickou či právnickou osobou nebo subjektem či orgánem se sídlem v Rusku,</w:t>
      </w:r>
    </w:p>
    <w:p w:rsidR="00522EB0" w:rsidRPr="00DB6394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právnickou osobou, subjektem nebo orgánem, který je z více než 50 % přímo či nepřímo vlastněn některým ze subjektů uvedených v písmeni a) tohoto odstavce, nebo</w:t>
      </w:r>
    </w:p>
    <w:p w:rsidR="00E3307F" w:rsidRPr="00DB6394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lastRenderedPageBreak/>
        <w:t>fyzickou nebo právnickou osobou, subjektem nebo orgánem, který jedná jménem nebo na pokyn některého ze subjektů uvedených v písmeni a) nebo b) tohoto odstavce.</w:t>
      </w:r>
    </w:p>
    <w:p w:rsidR="00E3307F" w:rsidRPr="00DB6394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:rsidR="004744C5" w:rsidRPr="00DB6394" w:rsidRDefault="004744C5" w:rsidP="004744C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 xml:space="preserve">Výběr </w:t>
      </w:r>
      <w:r w:rsidR="000E30C9" w:rsidRPr="00DB6394">
        <w:rPr>
          <w:color w:val="auto"/>
        </w:rPr>
        <w:t>Zhotovit</w:t>
      </w:r>
      <w:r w:rsidRPr="00DB6394">
        <w:rPr>
          <w:color w:val="auto"/>
        </w:rPr>
        <w:t xml:space="preserve">ele byl proveden v souladu s Pravidly Rady Kraje Vysočina pro zadávání veřejných zakázek ze dne </w:t>
      </w:r>
      <w:r w:rsidR="00FB0413" w:rsidRPr="00DB6394">
        <w:rPr>
          <w:color w:val="auto"/>
        </w:rPr>
        <w:t>7</w:t>
      </w:r>
      <w:r w:rsidRPr="00DB6394">
        <w:rPr>
          <w:color w:val="auto"/>
        </w:rPr>
        <w:t xml:space="preserve">. </w:t>
      </w:r>
      <w:r w:rsidR="00FB0413" w:rsidRPr="00DB6394">
        <w:rPr>
          <w:color w:val="auto"/>
        </w:rPr>
        <w:t>4</w:t>
      </w:r>
      <w:r w:rsidRPr="00DB6394">
        <w:rPr>
          <w:color w:val="auto"/>
        </w:rPr>
        <w:t>. 202</w:t>
      </w:r>
      <w:r w:rsidR="00FB0413" w:rsidRPr="00DB6394">
        <w:rPr>
          <w:color w:val="auto"/>
        </w:rPr>
        <w:t>5</w:t>
      </w:r>
      <w:r w:rsidRPr="00DB6394">
        <w:rPr>
          <w:color w:val="auto"/>
        </w:rPr>
        <w:t>.</w:t>
      </w:r>
    </w:p>
    <w:p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Smluvní strany prohlašují, že je jim znám obsah této smlouvy včetně jej</w:t>
      </w:r>
      <w:r w:rsidR="005408D5" w:rsidRPr="00DB6394">
        <w:rPr>
          <w:color w:val="auto"/>
        </w:rPr>
        <w:t>í</w:t>
      </w:r>
      <w:r w:rsidR="00922D41" w:rsidRPr="00DB6394">
        <w:rPr>
          <w:color w:val="auto"/>
        </w:rPr>
        <w:t>ch</w:t>
      </w:r>
      <w:r w:rsidRPr="00DB6394">
        <w:rPr>
          <w:color w:val="auto"/>
        </w:rPr>
        <w:t xml:space="preserve"> příloh, že s jejím</w:t>
      </w:r>
      <w:r w:rsidRPr="00934732">
        <w:rPr>
          <w:color w:val="auto"/>
        </w:rPr>
        <w:t xml:space="preserve"> </w:t>
      </w:r>
      <w:r w:rsidRPr="00DB6394">
        <w:rPr>
          <w:color w:val="auto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660581" w:rsidRDefault="00660581" w:rsidP="00660581">
      <w:pPr>
        <w:pStyle w:val="Odstavecseseznamem"/>
      </w:pPr>
    </w:p>
    <w:p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</w:p>
    <w:p w:rsidR="00C4146A" w:rsidRPr="005F5079" w:rsidRDefault="00AE192E" w:rsidP="005F5079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</w:p>
    <w:sectPr w:rsidR="00C4146A" w:rsidRPr="005F5079" w:rsidSect="00382DA7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562" w:rsidRDefault="00340562">
      <w:r>
        <w:separator/>
      </w:r>
    </w:p>
  </w:endnote>
  <w:endnote w:type="continuationSeparator" w:id="0">
    <w:p w:rsidR="00340562" w:rsidRDefault="00340562">
      <w:r>
        <w:continuationSeparator/>
      </w:r>
    </w:p>
  </w:endnote>
  <w:endnote w:type="continuationNotice" w:id="1">
    <w:p w:rsidR="00340562" w:rsidRDefault="00340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8D6" w:rsidRDefault="00D128D6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826D45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826D45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8D6" w:rsidRDefault="00D128D6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826D45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826D45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562" w:rsidRDefault="00340562">
      <w:r>
        <w:separator/>
      </w:r>
    </w:p>
  </w:footnote>
  <w:footnote w:type="continuationSeparator" w:id="0">
    <w:p w:rsidR="00340562" w:rsidRDefault="00340562">
      <w:r>
        <w:continuationSeparator/>
      </w:r>
    </w:p>
  </w:footnote>
  <w:footnote w:type="continuationNotice" w:id="1">
    <w:p w:rsidR="00340562" w:rsidRDefault="00340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8D6" w:rsidRPr="00C82BDA" w:rsidRDefault="00D128D6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D128D6" w:rsidRPr="00C82BDA" w:rsidRDefault="00D128D6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D128D6" w:rsidRDefault="00D128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9AC69E3"/>
    <w:multiLevelType w:val="hybridMultilevel"/>
    <w:tmpl w:val="B77818AA"/>
    <w:lvl w:ilvl="0" w:tplc="F38614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5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1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6"/>
  </w:num>
  <w:num w:numId="2">
    <w:abstractNumId w:val="23"/>
  </w:num>
  <w:num w:numId="3">
    <w:abstractNumId w:val="51"/>
  </w:num>
  <w:num w:numId="4">
    <w:abstractNumId w:val="0"/>
  </w:num>
  <w:num w:numId="5">
    <w:abstractNumId w:val="3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7"/>
  </w:num>
  <w:num w:numId="8">
    <w:abstractNumId w:val="42"/>
  </w:num>
  <w:num w:numId="9">
    <w:abstractNumId w:val="38"/>
  </w:num>
  <w:num w:numId="10">
    <w:abstractNumId w:val="11"/>
  </w:num>
  <w:num w:numId="11">
    <w:abstractNumId w:val="5"/>
  </w:num>
  <w:num w:numId="12">
    <w:abstractNumId w:val="41"/>
  </w:num>
  <w:num w:numId="13">
    <w:abstractNumId w:val="14"/>
  </w:num>
  <w:num w:numId="14">
    <w:abstractNumId w:val="30"/>
  </w:num>
  <w:num w:numId="15">
    <w:abstractNumId w:val="34"/>
  </w:num>
  <w:num w:numId="16">
    <w:abstractNumId w:val="7"/>
  </w:num>
  <w:num w:numId="17">
    <w:abstractNumId w:val="25"/>
  </w:num>
  <w:num w:numId="18">
    <w:abstractNumId w:val="3"/>
  </w:num>
  <w:num w:numId="19">
    <w:abstractNumId w:val="15"/>
  </w:num>
  <w:num w:numId="20">
    <w:abstractNumId w:val="45"/>
  </w:num>
  <w:num w:numId="21">
    <w:abstractNumId w:val="43"/>
  </w:num>
  <w:num w:numId="22">
    <w:abstractNumId w:val="18"/>
  </w:num>
  <w:num w:numId="23">
    <w:abstractNumId w:val="12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1"/>
  </w:num>
  <w:num w:numId="27">
    <w:abstractNumId w:val="50"/>
  </w:num>
  <w:num w:numId="28">
    <w:abstractNumId w:val="26"/>
  </w:num>
  <w:num w:numId="29">
    <w:abstractNumId w:val="29"/>
  </w:num>
  <w:num w:numId="30">
    <w:abstractNumId w:val="10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9"/>
  </w:num>
  <w:num w:numId="36">
    <w:abstractNumId w:val="8"/>
  </w:num>
  <w:num w:numId="37">
    <w:abstractNumId w:val="36"/>
  </w:num>
  <w:num w:numId="38">
    <w:abstractNumId w:val="44"/>
  </w:num>
  <w:num w:numId="39">
    <w:abstractNumId w:val="19"/>
  </w:num>
  <w:num w:numId="40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28"/>
  </w:num>
  <w:num w:numId="43">
    <w:abstractNumId w:val="9"/>
  </w:num>
  <w:num w:numId="44">
    <w:abstractNumId w:val="6"/>
  </w:num>
  <w:num w:numId="45">
    <w:abstractNumId w:val="35"/>
  </w:num>
  <w:num w:numId="46">
    <w:abstractNumId w:val="24"/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5562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335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264F2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4A3C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68E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916"/>
    <w:rsid w:val="00263B61"/>
    <w:rsid w:val="00266D44"/>
    <w:rsid w:val="002719DB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08CD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0562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41B"/>
    <w:rsid w:val="003A6E09"/>
    <w:rsid w:val="003A77D6"/>
    <w:rsid w:val="003B270D"/>
    <w:rsid w:val="003B5A9E"/>
    <w:rsid w:val="003B6744"/>
    <w:rsid w:val="003C0A40"/>
    <w:rsid w:val="003C0D02"/>
    <w:rsid w:val="003C4146"/>
    <w:rsid w:val="003C528F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132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4F5F5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07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3564"/>
    <w:rsid w:val="00644568"/>
    <w:rsid w:val="0064487A"/>
    <w:rsid w:val="0064532D"/>
    <w:rsid w:val="0065006F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0C1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3BD2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26F1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6D45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6ED1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09B"/>
    <w:rsid w:val="00A92B75"/>
    <w:rsid w:val="00A92E8B"/>
    <w:rsid w:val="00A948BA"/>
    <w:rsid w:val="00A963C7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192E"/>
    <w:rsid w:val="00AE3512"/>
    <w:rsid w:val="00AE3E1C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29C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299F"/>
    <w:rsid w:val="00B64F21"/>
    <w:rsid w:val="00B7211D"/>
    <w:rsid w:val="00B7381F"/>
    <w:rsid w:val="00B74536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2C09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3741"/>
    <w:rsid w:val="00CC739B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28D6"/>
    <w:rsid w:val="00D137F8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394"/>
    <w:rsid w:val="00DB6B9D"/>
    <w:rsid w:val="00DC0A37"/>
    <w:rsid w:val="00DC17CE"/>
    <w:rsid w:val="00DC4CCA"/>
    <w:rsid w:val="00DC6970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699A"/>
    <w:rsid w:val="00EF7C96"/>
    <w:rsid w:val="00F035F3"/>
    <w:rsid w:val="00F05346"/>
    <w:rsid w:val="00F06E3C"/>
    <w:rsid w:val="00F10E51"/>
    <w:rsid w:val="00F10E6B"/>
    <w:rsid w:val="00F12588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413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9AC947E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2F441-4549-4420-B0C9-48406853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6866</Words>
  <Characters>42386</Characters>
  <Application>Microsoft Office Word</Application>
  <DocSecurity>0</DocSecurity>
  <Lines>353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7</cp:revision>
  <cp:lastPrinted>2020-01-27T08:54:00Z</cp:lastPrinted>
  <dcterms:created xsi:type="dcterms:W3CDTF">2025-07-16T10:50:00Z</dcterms:created>
  <dcterms:modified xsi:type="dcterms:W3CDTF">2025-08-25T08:32:00Z</dcterms:modified>
</cp:coreProperties>
</file>